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Déclaration de périmètre et gouvernance du projet ISO 27001</w:t>
      </w:r>
    </w:p>
    <w:p>
      <w:pPr>
        <w:pStyle w:val="Heading2"/>
      </w:pPr>
      <w:r>
        <w:t>1. Périmètre du SMSI</w:t>
      </w:r>
    </w:p>
    <w:p>
      <w:r>
        <w:t>Le périmètre du Système de Management de la Sécurité de l’Information (SMSI) couvre les entités, processus, et sites suivants :</w:t>
        <w:br/>
        <w:br/>
        <w:t>- Entités incluses : [à compléter]</w:t>
        <w:br/>
        <w:t>- Processus concernés : [à compléter]</w:t>
        <w:br/>
        <w:t>- Sites couverts : [à compléter]</w:t>
        <w:br/>
        <w:br/>
        <w:t>Ce périmètre a été défini selon les critères suivants :</w:t>
        <w:br/>
        <w:t>- Sensibilité des informations traitées</w:t>
        <w:br/>
        <w:t>- Activités critiques de l’entreprise</w:t>
        <w:br/>
        <w:t>- Interactions avec des tiers ou des partenaires</w:t>
        <w:br/>
        <w:br/>
        <w:t>Les entités ou processus suivants sont exclus du périmètre : [à compléter] (avec justification)</w:t>
      </w:r>
    </w:p>
    <w:p>
      <w:pPr>
        <w:pStyle w:val="Heading2"/>
      </w:pPr>
      <w:r>
        <w:t>2. Objectifs du SMSI</w:t>
      </w:r>
    </w:p>
    <w:p>
      <w:r>
        <w:t>- Protéger les informations critiques de l’entreprise contre les menaces internes et externes</w:t>
        <w:br/>
        <w:t>- Garantir la confidentialité, l’intégrité et la disponibilité des données</w:t>
        <w:br/>
        <w:t>- Répondre aux exigences des clients, partenaires et régulateurs</w:t>
        <w:br/>
        <w:t>- Mettre en place une démarche d’amélioration continue en matière de cybersécurité</w:t>
      </w:r>
    </w:p>
    <w:p>
      <w:pPr>
        <w:pStyle w:val="Heading2"/>
      </w:pPr>
      <w:r>
        <w:t>3. Gouvernance du projet</w:t>
      </w:r>
    </w:p>
    <w:p>
      <w:r>
        <w:t>Un comité de pilotage a été mis en place pour superviser la démarche ISO 27001.</w:t>
        <w:br/>
        <w:br/>
        <w:t>Composition du COPIL :</w:t>
        <w:br/>
        <w:t>- Direction générale</w:t>
        <w:br/>
        <w:t>- Direction des systèmes d’information</w:t>
        <w:br/>
        <w:t>- Responsable RH</w:t>
        <w:br/>
        <w:t>- Référents métiers [à préciser]</w:t>
        <w:br/>
        <w:br/>
        <w:t>Le COPIL se réunit [mensuellement / bimensuellement] pour suivre l’avancement, lever les points de blocage et valider les livrables clés.</w:t>
      </w:r>
    </w:p>
    <w:p>
      <w:pPr>
        <w:pStyle w:val="Heading2"/>
      </w:pPr>
      <w:r>
        <w:t>4. RACI des principales activités</w:t>
      </w:r>
    </w:p>
    <w:p>
      <w:r>
        <w:t>Chaque activité du projet est documentée selon une matrice RACI :</w:t>
        <w:br/>
        <w:t>- Responsable : qui fait</w:t>
        <w:br/>
        <w:t>- Relecteur : qui valide</w:t>
        <w:br/>
        <w:t>- Consulté : qui donne son avis</w:t>
        <w:br/>
        <w:t>- Informé : qui est tenu au courant</w:t>
        <w:br/>
        <w:br/>
        <w:t>Une version complète du RACI est fournie dans le fichier Excel joint au plan projet.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